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BA8E" w14:textId="11CAB895" w:rsidR="001C34A2" w:rsidRPr="001C34A2" w:rsidRDefault="001C34A2">
      <w:pPr>
        <w:rPr>
          <w:rFonts w:ascii="Arial" w:hAnsi="Arial" w:cs="Arial"/>
          <w:b/>
        </w:rPr>
      </w:pPr>
      <w:r w:rsidRPr="001C34A2">
        <w:rPr>
          <w:rFonts w:ascii="Arial" w:hAnsi="Arial" w:cs="Arial"/>
          <w:b/>
        </w:rPr>
        <w:t>VÝROČNÍ ZPRÁVA O I</w:t>
      </w:r>
      <w:r w:rsidR="00902940">
        <w:rPr>
          <w:rFonts w:ascii="Arial" w:hAnsi="Arial" w:cs="Arial"/>
          <w:b/>
        </w:rPr>
        <w:t>M</w:t>
      </w:r>
      <w:r w:rsidRPr="001C34A2">
        <w:rPr>
          <w:rFonts w:ascii="Arial" w:hAnsi="Arial" w:cs="Arial"/>
          <w:b/>
        </w:rPr>
        <w:t>PLEMENTACI P</w:t>
      </w:r>
      <w:r w:rsidR="00045CDC">
        <w:rPr>
          <w:rFonts w:ascii="Arial" w:hAnsi="Arial" w:cs="Arial"/>
          <w:b/>
        </w:rPr>
        <w:t xml:space="preserve">ROGRAMU ZAMĚSTNANOST ZA ROK </w:t>
      </w:r>
      <w:r w:rsidR="009E69B4">
        <w:rPr>
          <w:rFonts w:ascii="Arial" w:hAnsi="Arial" w:cs="Arial"/>
          <w:b/>
        </w:rPr>
        <w:t>20</w:t>
      </w:r>
      <w:r w:rsidR="00FC772E">
        <w:rPr>
          <w:rFonts w:ascii="Arial" w:hAnsi="Arial" w:cs="Arial"/>
          <w:b/>
        </w:rPr>
        <w:t>2</w:t>
      </w:r>
      <w:r w:rsidR="007C2F51">
        <w:rPr>
          <w:rFonts w:ascii="Arial" w:hAnsi="Arial" w:cs="Arial"/>
          <w:b/>
        </w:rPr>
        <w:t>2</w:t>
      </w:r>
    </w:p>
    <w:p w14:paraId="45E4BA8F" w14:textId="77777777" w:rsidR="004F6D51" w:rsidRPr="001C34A2" w:rsidRDefault="001C34A2">
      <w:pPr>
        <w:rPr>
          <w:rFonts w:ascii="Arial" w:hAnsi="Arial" w:cs="Arial"/>
          <w:b/>
        </w:rPr>
      </w:pPr>
      <w:r w:rsidRPr="001C34A2">
        <w:rPr>
          <w:rFonts w:ascii="Arial" w:hAnsi="Arial" w:cs="Arial"/>
          <w:b/>
        </w:rPr>
        <w:t xml:space="preserve">SHRNUTÍ PRO VEŘEJNOST </w:t>
      </w:r>
      <w:r w:rsidRPr="001C34A2">
        <w:rPr>
          <w:rFonts w:ascii="Arial" w:hAnsi="Arial" w:cs="Arial"/>
          <w:b/>
          <w:lang w:val="en-US"/>
        </w:rPr>
        <w:t>(</w:t>
      </w:r>
      <w:proofErr w:type="spellStart"/>
      <w:r w:rsidRPr="001C34A2">
        <w:rPr>
          <w:rFonts w:ascii="Arial" w:hAnsi="Arial" w:cs="Arial"/>
          <w:b/>
          <w:lang w:val="en-US"/>
        </w:rPr>
        <w:t>čl</w:t>
      </w:r>
      <w:proofErr w:type="spellEnd"/>
      <w:r w:rsidRPr="001C34A2">
        <w:rPr>
          <w:rFonts w:ascii="Arial" w:hAnsi="Arial" w:cs="Arial"/>
          <w:b/>
          <w:lang w:val="en-US"/>
        </w:rPr>
        <w:t xml:space="preserve">. 50 </w:t>
      </w:r>
      <w:proofErr w:type="spellStart"/>
      <w:r w:rsidRPr="001C34A2">
        <w:rPr>
          <w:rFonts w:ascii="Arial" w:hAnsi="Arial" w:cs="Arial"/>
          <w:b/>
          <w:lang w:val="en-US"/>
        </w:rPr>
        <w:t>odst</w:t>
      </w:r>
      <w:proofErr w:type="spellEnd"/>
      <w:r w:rsidRPr="001C34A2">
        <w:rPr>
          <w:rFonts w:ascii="Arial" w:hAnsi="Arial" w:cs="Arial"/>
          <w:b/>
          <w:lang w:val="en-US"/>
        </w:rPr>
        <w:t xml:space="preserve">. 9 </w:t>
      </w:r>
      <w:proofErr w:type="spellStart"/>
      <w:r w:rsidRPr="001C34A2">
        <w:rPr>
          <w:rFonts w:ascii="Arial" w:hAnsi="Arial" w:cs="Arial"/>
          <w:b/>
          <w:lang w:val="en-US"/>
        </w:rPr>
        <w:t>nařízení</w:t>
      </w:r>
      <w:proofErr w:type="spellEnd"/>
      <w:r w:rsidRPr="001C34A2">
        <w:rPr>
          <w:rFonts w:ascii="Arial" w:hAnsi="Arial" w:cs="Arial"/>
          <w:b/>
          <w:lang w:val="en-US"/>
        </w:rPr>
        <w:t xml:space="preserve"> (EU) č. 1303/2013)</w:t>
      </w:r>
    </w:p>
    <w:p w14:paraId="2059E8B3" w14:textId="77777777" w:rsidR="007C2F51" w:rsidRPr="00EE5AA1" w:rsidRDefault="007C2F51" w:rsidP="007C2F51">
      <w:pPr>
        <w:spacing w:after="120"/>
        <w:ind w:right="119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Hlavním posláním </w:t>
      </w:r>
      <w:r w:rsidRPr="00EE5AA1">
        <w:rPr>
          <w:rFonts w:ascii="Arial" w:eastAsia="Arial" w:hAnsi="Arial" w:cs="Arial"/>
          <w:bCs/>
          <w:color w:val="000000"/>
        </w:rPr>
        <w:t>Operační</w:t>
      </w:r>
      <w:r>
        <w:rPr>
          <w:rFonts w:ascii="Arial" w:eastAsia="Arial" w:hAnsi="Arial" w:cs="Arial"/>
          <w:bCs/>
          <w:color w:val="000000"/>
        </w:rPr>
        <w:t>ho</w:t>
      </w:r>
      <w:r w:rsidRPr="00EE5AA1">
        <w:rPr>
          <w:rFonts w:ascii="Arial" w:eastAsia="Arial" w:hAnsi="Arial" w:cs="Arial"/>
          <w:bCs/>
          <w:color w:val="000000"/>
        </w:rPr>
        <w:t xml:space="preserve"> program</w:t>
      </w:r>
      <w:r>
        <w:rPr>
          <w:rFonts w:ascii="Arial" w:eastAsia="Arial" w:hAnsi="Arial" w:cs="Arial"/>
          <w:bCs/>
          <w:color w:val="000000"/>
        </w:rPr>
        <w:t>u</w:t>
      </w:r>
      <w:r w:rsidRPr="00EE5AA1">
        <w:rPr>
          <w:rFonts w:ascii="Arial" w:eastAsia="Arial" w:hAnsi="Arial" w:cs="Arial"/>
          <w:bCs/>
          <w:color w:val="000000"/>
        </w:rPr>
        <w:t xml:space="preserve"> Zaměstnanost (OPZ) </w:t>
      </w:r>
      <w:r>
        <w:rPr>
          <w:rFonts w:ascii="Arial" w:eastAsia="Arial" w:hAnsi="Arial" w:cs="Arial"/>
          <w:bCs/>
          <w:color w:val="000000"/>
        </w:rPr>
        <w:t xml:space="preserve">je rozvoj zaměstnanosti, snižování nezaměstnanosti, podpora </w:t>
      </w:r>
      <w:r w:rsidRPr="00EE5AA1">
        <w:rPr>
          <w:rFonts w:ascii="Arial" w:eastAsia="Arial" w:hAnsi="Arial" w:cs="Arial"/>
          <w:bCs/>
          <w:color w:val="000000"/>
        </w:rPr>
        <w:t>sociální</w:t>
      </w:r>
      <w:r>
        <w:rPr>
          <w:rFonts w:ascii="Arial" w:eastAsia="Arial" w:hAnsi="Arial" w:cs="Arial"/>
          <w:bCs/>
          <w:color w:val="000000"/>
        </w:rPr>
        <w:t>ho</w:t>
      </w:r>
      <w:r w:rsidRPr="00EE5AA1">
        <w:rPr>
          <w:rFonts w:ascii="Arial" w:eastAsia="Arial" w:hAnsi="Arial" w:cs="Arial"/>
          <w:bCs/>
          <w:color w:val="000000"/>
        </w:rPr>
        <w:t xml:space="preserve"> začleňován</w:t>
      </w:r>
      <w:r>
        <w:rPr>
          <w:rFonts w:ascii="Arial" w:eastAsia="Arial" w:hAnsi="Arial" w:cs="Arial"/>
          <w:bCs/>
          <w:color w:val="000000"/>
        </w:rPr>
        <w:t>í, rovných příležitostí</w:t>
      </w:r>
      <w:r w:rsidRPr="00EE5AA1">
        <w:rPr>
          <w:rFonts w:ascii="Arial" w:eastAsia="Arial" w:hAnsi="Arial" w:cs="Arial"/>
          <w:bCs/>
          <w:color w:val="000000"/>
        </w:rPr>
        <w:t xml:space="preserve"> či</w:t>
      </w:r>
      <w:r>
        <w:rPr>
          <w:rFonts w:ascii="Arial" w:eastAsia="Arial" w:hAnsi="Arial" w:cs="Arial"/>
          <w:bCs/>
          <w:color w:val="000000"/>
        </w:rPr>
        <w:t> modernizace veřejné správy</w:t>
      </w:r>
      <w:r w:rsidRPr="00EE5AA1">
        <w:rPr>
          <w:rFonts w:ascii="Arial" w:eastAsia="Arial" w:hAnsi="Arial" w:cs="Arial"/>
          <w:bCs/>
          <w:color w:val="000000"/>
        </w:rPr>
        <w:t xml:space="preserve">. </w:t>
      </w:r>
      <w:r>
        <w:rPr>
          <w:rFonts w:ascii="Arial" w:eastAsia="Arial" w:hAnsi="Arial" w:cs="Arial"/>
          <w:bCs/>
          <w:color w:val="000000"/>
        </w:rPr>
        <w:t xml:space="preserve">To vše s pomocí evropských peněz. </w:t>
      </w:r>
      <w:r w:rsidRPr="00EE5AA1">
        <w:rPr>
          <w:rFonts w:ascii="Arial" w:eastAsia="Arial" w:hAnsi="Arial" w:cs="Arial"/>
          <w:bCs/>
          <w:color w:val="000000"/>
        </w:rPr>
        <w:t xml:space="preserve">V programovém období 2014–2020 v něm bylo pro Česko </w:t>
      </w:r>
      <w:r>
        <w:rPr>
          <w:rFonts w:ascii="Arial" w:eastAsia="Arial" w:hAnsi="Arial" w:cs="Arial"/>
          <w:bCs/>
          <w:color w:val="000000"/>
        </w:rPr>
        <w:t xml:space="preserve">postupně </w:t>
      </w:r>
      <w:r w:rsidRPr="00EE5AA1">
        <w:rPr>
          <w:rFonts w:ascii="Arial" w:eastAsia="Arial" w:hAnsi="Arial" w:cs="Arial"/>
          <w:bCs/>
          <w:color w:val="000000"/>
        </w:rPr>
        <w:t xml:space="preserve">vyčleněno </w:t>
      </w:r>
      <w:r w:rsidRPr="00C3355F">
        <w:rPr>
          <w:rFonts w:ascii="Arial" w:eastAsia="Arial" w:hAnsi="Arial" w:cs="Arial"/>
          <w:bCs/>
          <w:color w:val="000000"/>
        </w:rPr>
        <w:t>2,9 mld. EUR</w:t>
      </w:r>
      <w:r>
        <w:rPr>
          <w:rFonts w:ascii="Arial" w:eastAsia="Arial" w:hAnsi="Arial" w:cs="Arial"/>
          <w:bCs/>
          <w:color w:val="000000"/>
        </w:rPr>
        <w:t>, vč. navýšené částky v roce 2020 určené na zmírnění dopadů epidemie onemocnění COVID-19 na ekonomiku a pracovní trh. V roce 2022 se program začal chýlit ke svému závěru, přesto zvládl reagovat na některé výzvy, které ho tento rok čekaly.</w:t>
      </w:r>
    </w:p>
    <w:p w14:paraId="3440EC1A" w14:textId="77777777" w:rsidR="007C2F51" w:rsidRPr="00FD38E1" w:rsidRDefault="007C2F51" w:rsidP="007C2F51">
      <w:pPr>
        <w:spacing w:after="120"/>
        <w:ind w:right="121"/>
        <w:jc w:val="both"/>
        <w:rPr>
          <w:rFonts w:ascii="Arial" w:eastAsia="Arial" w:hAnsi="Arial" w:cs="Arial"/>
          <w:bCs/>
          <w:color w:val="000000"/>
        </w:rPr>
      </w:pPr>
      <w:r w:rsidRPr="00D936B3">
        <w:rPr>
          <w:rFonts w:ascii="Arial" w:eastAsia="Arial" w:hAnsi="Arial" w:cs="Arial"/>
          <w:bCs/>
          <w:color w:val="000000"/>
        </w:rPr>
        <w:t>Metodika provádění programu byla jednou revidována</w:t>
      </w:r>
      <w:r>
        <w:rPr>
          <w:rFonts w:ascii="Arial" w:eastAsia="Arial" w:hAnsi="Arial" w:cs="Arial"/>
          <w:bCs/>
          <w:color w:val="000000"/>
        </w:rPr>
        <w:t xml:space="preserve"> v návaznosti na úpravou </w:t>
      </w:r>
      <w:r w:rsidRPr="00D936B3">
        <w:rPr>
          <w:rFonts w:ascii="Arial" w:eastAsia="Arial" w:hAnsi="Arial" w:cs="Arial"/>
          <w:bCs/>
          <w:color w:val="000000"/>
        </w:rPr>
        <w:t>podmín</w:t>
      </w:r>
      <w:r>
        <w:rPr>
          <w:rFonts w:ascii="Arial" w:eastAsia="Arial" w:hAnsi="Arial" w:cs="Arial"/>
          <w:bCs/>
          <w:color w:val="000000"/>
        </w:rPr>
        <w:t>ek</w:t>
      </w:r>
      <w:r w:rsidRPr="00D936B3">
        <w:rPr>
          <w:rFonts w:ascii="Arial" w:eastAsia="Arial" w:hAnsi="Arial" w:cs="Arial"/>
          <w:bCs/>
          <w:color w:val="000000"/>
        </w:rPr>
        <w:t xml:space="preserve"> zákona č.</w:t>
      </w:r>
      <w:r w:rsidRPr="00CF59AB">
        <w:t> </w:t>
      </w:r>
      <w:r w:rsidRPr="00D936B3">
        <w:rPr>
          <w:rFonts w:ascii="Arial" w:eastAsia="Arial" w:hAnsi="Arial" w:cs="Arial"/>
          <w:bCs/>
          <w:color w:val="000000"/>
        </w:rPr>
        <w:t>247/2014 Sb., o poskytování služby péče o dítě v dětské skupině a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D936B3">
        <w:rPr>
          <w:rFonts w:ascii="Arial" w:eastAsia="Arial" w:hAnsi="Arial" w:cs="Arial"/>
          <w:bCs/>
          <w:color w:val="000000"/>
        </w:rPr>
        <w:t>o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D936B3">
        <w:rPr>
          <w:rFonts w:ascii="Arial" w:eastAsia="Arial" w:hAnsi="Arial" w:cs="Arial"/>
          <w:bCs/>
          <w:color w:val="000000"/>
        </w:rPr>
        <w:t>změně souvisejících zákonů</w:t>
      </w:r>
      <w:r>
        <w:rPr>
          <w:rFonts w:ascii="Arial" w:eastAsia="Arial" w:hAnsi="Arial" w:cs="Arial"/>
          <w:bCs/>
          <w:color w:val="000000"/>
        </w:rPr>
        <w:t xml:space="preserve">. Novela i </w:t>
      </w:r>
      <w:r w:rsidRPr="00FD4B5B">
        <w:rPr>
          <w:rFonts w:ascii="Arial" w:eastAsia="Arial" w:hAnsi="Arial" w:cs="Arial"/>
          <w:bCs/>
        </w:rPr>
        <w:t xml:space="preserve">příliv osob z Ukrajiny v souvislosti s invazí vojsk Ruské federace ovlivnily provozovatele </w:t>
      </w:r>
      <w:r w:rsidRPr="00FD38E1">
        <w:rPr>
          <w:rFonts w:ascii="Arial" w:eastAsia="Arial" w:hAnsi="Arial" w:cs="Arial"/>
          <w:bCs/>
          <w:color w:val="000000"/>
        </w:rPr>
        <w:t xml:space="preserve">dětských skupin </w:t>
      </w:r>
      <w:r>
        <w:rPr>
          <w:rFonts w:ascii="Arial" w:eastAsia="Arial" w:hAnsi="Arial" w:cs="Arial"/>
          <w:bCs/>
          <w:color w:val="000000"/>
        </w:rPr>
        <w:t>financovaných</w:t>
      </w:r>
      <w:r w:rsidRPr="00FD38E1">
        <w:rPr>
          <w:rFonts w:ascii="Arial" w:eastAsia="Arial" w:hAnsi="Arial" w:cs="Arial"/>
          <w:bCs/>
          <w:color w:val="000000"/>
        </w:rPr>
        <w:t xml:space="preserve"> z</w:t>
      </w:r>
      <w:r>
        <w:rPr>
          <w:rFonts w:ascii="Arial" w:eastAsia="Arial" w:hAnsi="Arial" w:cs="Arial"/>
          <w:bCs/>
          <w:color w:val="000000"/>
        </w:rPr>
        <w:t> </w:t>
      </w:r>
      <w:r w:rsidRPr="00FD38E1">
        <w:rPr>
          <w:rFonts w:ascii="Arial" w:eastAsia="Arial" w:hAnsi="Arial" w:cs="Arial"/>
          <w:bCs/>
          <w:color w:val="000000"/>
        </w:rPr>
        <w:t>OPZ</w:t>
      </w:r>
      <w:r>
        <w:rPr>
          <w:rFonts w:ascii="Arial" w:eastAsia="Arial" w:hAnsi="Arial" w:cs="Arial"/>
          <w:bCs/>
          <w:color w:val="000000"/>
        </w:rPr>
        <w:t>. Z tohoto důvodu došlo</w:t>
      </w:r>
      <w:r w:rsidRPr="00FD38E1">
        <w:rPr>
          <w:rFonts w:ascii="Arial" w:eastAsia="Arial" w:hAnsi="Arial" w:cs="Arial"/>
          <w:bCs/>
          <w:color w:val="000000"/>
        </w:rPr>
        <w:t xml:space="preserve"> v rámci revize k</w:t>
      </w:r>
      <w:r>
        <w:rPr>
          <w:rFonts w:ascii="Arial" w:eastAsia="Arial" w:hAnsi="Arial" w:cs="Arial"/>
          <w:bCs/>
          <w:color w:val="000000"/>
        </w:rPr>
        <w:t> </w:t>
      </w:r>
      <w:r w:rsidRPr="00FD38E1">
        <w:rPr>
          <w:rFonts w:ascii="Arial" w:eastAsia="Arial" w:hAnsi="Arial" w:cs="Arial"/>
          <w:bCs/>
          <w:color w:val="000000"/>
        </w:rPr>
        <w:t>úpravě pravidel pro</w:t>
      </w:r>
      <w:r>
        <w:rPr>
          <w:rFonts w:ascii="Arial" w:eastAsia="Arial" w:hAnsi="Arial" w:cs="Arial"/>
          <w:bCs/>
          <w:color w:val="000000"/>
        </w:rPr>
        <w:t> </w:t>
      </w:r>
      <w:r w:rsidRPr="00FD38E1">
        <w:rPr>
          <w:rFonts w:ascii="Arial" w:eastAsia="Arial" w:hAnsi="Arial" w:cs="Arial"/>
          <w:bCs/>
          <w:color w:val="000000"/>
        </w:rPr>
        <w:t xml:space="preserve">projekty </w:t>
      </w:r>
      <w:r>
        <w:rPr>
          <w:rFonts w:ascii="Arial" w:eastAsia="Arial" w:hAnsi="Arial" w:cs="Arial"/>
          <w:bCs/>
          <w:color w:val="000000"/>
        </w:rPr>
        <w:t>s jednotkovými náklady podporující</w:t>
      </w:r>
      <w:r w:rsidRPr="00FD38E1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>dětské skupiny</w:t>
      </w:r>
      <w:r w:rsidRPr="00FD38E1">
        <w:rPr>
          <w:rFonts w:ascii="Arial" w:eastAsia="Arial" w:hAnsi="Arial" w:cs="Arial"/>
          <w:bCs/>
          <w:color w:val="000000"/>
        </w:rPr>
        <w:t>.</w:t>
      </w:r>
    </w:p>
    <w:p w14:paraId="39AE6974" w14:textId="77777777" w:rsidR="007C2F51" w:rsidRPr="00EE5AA1" w:rsidRDefault="007C2F51" w:rsidP="007C2F51">
      <w:pPr>
        <w:spacing w:after="120"/>
        <w:ind w:right="121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Celkem vyhlásil řídicí orgán OPZ od roku 2</w:t>
      </w:r>
      <w:r w:rsidRPr="00EE5AA1">
        <w:rPr>
          <w:rFonts w:ascii="Arial" w:eastAsia="Arial" w:hAnsi="Arial" w:cs="Arial"/>
          <w:bCs/>
          <w:color w:val="000000"/>
        </w:rPr>
        <w:t>015 do konce roku 202</w:t>
      </w:r>
      <w:r>
        <w:rPr>
          <w:rFonts w:ascii="Arial" w:eastAsia="Arial" w:hAnsi="Arial" w:cs="Arial"/>
          <w:bCs/>
          <w:color w:val="000000"/>
        </w:rPr>
        <w:t>2</w:t>
      </w:r>
      <w:r w:rsidRPr="00EE5AA1">
        <w:rPr>
          <w:rFonts w:ascii="Arial" w:eastAsia="Arial" w:hAnsi="Arial" w:cs="Arial"/>
          <w:bCs/>
          <w:color w:val="000000"/>
        </w:rPr>
        <w:t xml:space="preserve"> </w:t>
      </w:r>
      <w:r w:rsidRPr="00AE0CAC">
        <w:rPr>
          <w:rFonts w:ascii="Arial" w:eastAsia="Arial" w:hAnsi="Arial" w:cs="Arial"/>
          <w:bCs/>
          <w:color w:val="000000"/>
        </w:rPr>
        <w:t>130 výzev</w:t>
      </w:r>
      <w:r w:rsidRPr="00EE5AA1">
        <w:rPr>
          <w:rFonts w:ascii="Arial" w:eastAsia="Arial" w:hAnsi="Arial" w:cs="Arial"/>
          <w:bCs/>
          <w:color w:val="000000"/>
        </w:rPr>
        <w:t>. Počet zaregistrovaných žádostí o podporu dosáhl ke konci roku 202</w:t>
      </w:r>
      <w:r>
        <w:rPr>
          <w:rFonts w:ascii="Arial" w:eastAsia="Arial" w:hAnsi="Arial" w:cs="Arial"/>
          <w:bCs/>
          <w:color w:val="000000"/>
        </w:rPr>
        <w:t>2</w:t>
      </w:r>
      <w:r w:rsidRPr="00EE5AA1">
        <w:rPr>
          <w:rFonts w:ascii="Arial" w:eastAsia="Arial" w:hAnsi="Arial" w:cs="Arial"/>
          <w:bCs/>
          <w:color w:val="000000"/>
        </w:rPr>
        <w:t xml:space="preserve"> </w:t>
      </w:r>
      <w:r w:rsidRPr="00AE0CAC">
        <w:rPr>
          <w:rFonts w:ascii="Arial" w:eastAsia="Arial" w:hAnsi="Arial" w:cs="Arial"/>
          <w:bCs/>
          <w:color w:val="000000"/>
        </w:rPr>
        <w:t>hodnoty 17,4 tisíc a přes 10 tisíc z nich</w:t>
      </w:r>
      <w:r w:rsidRPr="00EE5AA1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>na dotaci dosáhlo</w:t>
      </w:r>
      <w:r w:rsidRPr="00EE5AA1">
        <w:rPr>
          <w:rFonts w:ascii="Arial" w:eastAsia="Arial" w:hAnsi="Arial" w:cs="Arial"/>
          <w:bCs/>
          <w:color w:val="000000"/>
        </w:rPr>
        <w:t xml:space="preserve">. Finanční objem </w:t>
      </w:r>
      <w:r w:rsidRPr="00B91071">
        <w:rPr>
          <w:rFonts w:ascii="Arial" w:eastAsia="Arial" w:hAnsi="Arial" w:cs="Arial"/>
          <w:bCs/>
          <w:color w:val="000000"/>
        </w:rPr>
        <w:t xml:space="preserve">podpořených projektů činil téměř 3,3 mld. EUR, což představuje 114 % alokace programu. Účastníků projektů bylo více než </w:t>
      </w:r>
      <w:r w:rsidRPr="00B91071">
        <w:rPr>
          <w:rFonts w:ascii="Arial" w:eastAsia="Arial" w:hAnsi="Arial" w:cs="Arial"/>
          <w:bCs/>
        </w:rPr>
        <w:t>711</w:t>
      </w:r>
      <w:r w:rsidRPr="00B91071">
        <w:rPr>
          <w:rFonts w:ascii="Arial" w:eastAsia="Arial" w:hAnsi="Arial" w:cs="Arial"/>
          <w:bCs/>
          <w:color w:val="000000"/>
        </w:rPr>
        <w:t> </w:t>
      </w:r>
      <w:r w:rsidRPr="00B91071">
        <w:rPr>
          <w:rFonts w:ascii="Arial" w:eastAsia="Arial" w:hAnsi="Arial" w:cs="Arial"/>
          <w:bCs/>
        </w:rPr>
        <w:t>tisíc</w:t>
      </w:r>
      <w:r w:rsidRPr="00B91071">
        <w:rPr>
          <w:rFonts w:ascii="Arial" w:eastAsia="Arial" w:hAnsi="Arial" w:cs="Arial"/>
          <w:bCs/>
          <w:color w:val="000000"/>
        </w:rPr>
        <w:t>. Realizátoři projektů (neziskové organizace, firmy, obce, kraje, Úřad práce a další) dosud poslali na řídicí</w:t>
      </w:r>
      <w:r w:rsidRPr="00EE5AA1">
        <w:rPr>
          <w:rFonts w:ascii="Arial" w:eastAsia="Arial" w:hAnsi="Arial" w:cs="Arial"/>
          <w:bCs/>
          <w:color w:val="000000"/>
        </w:rPr>
        <w:t xml:space="preserve"> orgán žádosti o platbu v hodnotě </w:t>
      </w:r>
      <w:r>
        <w:rPr>
          <w:rFonts w:ascii="Arial" w:eastAsia="Arial" w:hAnsi="Arial" w:cs="Arial"/>
          <w:bCs/>
          <w:color w:val="000000"/>
        </w:rPr>
        <w:t>přes</w:t>
      </w:r>
      <w:r w:rsidRPr="00EE5AA1">
        <w:rPr>
          <w:rFonts w:ascii="Arial" w:eastAsia="Calibri" w:hAnsi="Arial" w:cs="Arial"/>
          <w:bCs/>
          <w:iCs/>
        </w:rPr>
        <w:t> </w:t>
      </w:r>
      <w:r w:rsidRPr="00EE5AA1">
        <w:rPr>
          <w:rFonts w:ascii="Arial" w:eastAsia="Arial" w:hAnsi="Arial" w:cs="Arial"/>
          <w:bCs/>
          <w:color w:val="000000"/>
        </w:rPr>
        <w:t>2,</w:t>
      </w:r>
      <w:r>
        <w:rPr>
          <w:rFonts w:ascii="Arial" w:eastAsia="Arial" w:hAnsi="Arial" w:cs="Arial"/>
          <w:bCs/>
          <w:color w:val="000000"/>
        </w:rPr>
        <w:t>6</w:t>
      </w:r>
      <w:r w:rsidRPr="00EE5AA1">
        <w:rPr>
          <w:rFonts w:ascii="Arial" w:eastAsia="Calibri" w:hAnsi="Arial" w:cs="Arial"/>
          <w:bCs/>
          <w:iCs/>
        </w:rPr>
        <w:t> </w:t>
      </w:r>
      <w:r w:rsidRPr="00EE5AA1">
        <w:rPr>
          <w:rFonts w:ascii="Arial" w:eastAsia="Arial" w:hAnsi="Arial" w:cs="Arial"/>
          <w:bCs/>
          <w:color w:val="000000"/>
        </w:rPr>
        <w:t>mld. EUR, tedy již</w:t>
      </w:r>
      <w:r>
        <w:rPr>
          <w:rFonts w:ascii="Arial" w:eastAsia="Arial" w:hAnsi="Arial" w:cs="Arial"/>
          <w:bCs/>
          <w:color w:val="000000"/>
        </w:rPr>
        <w:t> </w:t>
      </w:r>
      <w:r w:rsidRPr="00EE5AA1">
        <w:rPr>
          <w:rFonts w:ascii="Arial" w:eastAsia="Arial" w:hAnsi="Arial" w:cs="Arial"/>
          <w:bCs/>
          <w:color w:val="000000"/>
        </w:rPr>
        <w:t xml:space="preserve">přes </w:t>
      </w:r>
      <w:r w:rsidRPr="006C487D">
        <w:rPr>
          <w:rFonts w:ascii="Arial" w:eastAsia="Arial" w:hAnsi="Arial" w:cs="Arial"/>
          <w:bCs/>
          <w:color w:val="000000"/>
        </w:rPr>
        <w:t>9</w:t>
      </w:r>
      <w:r>
        <w:rPr>
          <w:rFonts w:ascii="Arial" w:eastAsia="Arial" w:hAnsi="Arial" w:cs="Arial"/>
          <w:bCs/>
          <w:color w:val="000000"/>
        </w:rPr>
        <w:t>1</w:t>
      </w:r>
      <w:r w:rsidRPr="006C487D">
        <w:rPr>
          <w:rFonts w:ascii="Arial" w:eastAsia="Arial" w:hAnsi="Arial" w:cs="Arial"/>
          <w:bCs/>
          <w:color w:val="000000"/>
        </w:rPr>
        <w:t xml:space="preserve"> % alokace</w:t>
      </w:r>
      <w:r w:rsidRPr="00EE5AA1">
        <w:rPr>
          <w:rFonts w:ascii="Arial" w:eastAsia="Arial" w:hAnsi="Arial" w:cs="Arial"/>
          <w:bCs/>
          <w:color w:val="000000"/>
        </w:rPr>
        <w:t xml:space="preserve"> programu</w:t>
      </w:r>
      <w:r w:rsidRPr="004F12FA">
        <w:rPr>
          <w:rFonts w:ascii="Arial" w:eastAsia="Arial" w:hAnsi="Arial" w:cs="Arial"/>
          <w:bCs/>
          <w:color w:val="000000"/>
        </w:rPr>
        <w:t>.</w:t>
      </w:r>
    </w:p>
    <w:p w14:paraId="73104FF8" w14:textId="77777777" w:rsidR="007C2F51" w:rsidRDefault="007C2F51" w:rsidP="007C2F51">
      <w:pPr>
        <w:spacing w:after="120"/>
        <w:ind w:right="57"/>
        <w:jc w:val="both"/>
        <w:rPr>
          <w:rFonts w:ascii="Arial" w:eastAsia="Arial" w:hAnsi="Arial"/>
          <w:sz w:val="20"/>
        </w:rPr>
      </w:pPr>
      <w:r w:rsidRPr="004E00C4">
        <w:rPr>
          <w:rFonts w:ascii="Arial" w:eastAsia="Arial" w:hAnsi="Arial" w:cs="Arial"/>
          <w:bCs/>
          <w:color w:val="000000"/>
        </w:rPr>
        <w:t>Nejvíce peněz putovalo podobně jako v uplynulých letech do prioritní osy 1</w:t>
      </w:r>
      <w:r>
        <w:rPr>
          <w:rFonts w:ascii="Arial" w:eastAsia="Arial" w:hAnsi="Arial" w:cs="Arial"/>
          <w:bCs/>
          <w:color w:val="000000"/>
        </w:rPr>
        <w:t xml:space="preserve">, která se týká </w:t>
      </w:r>
      <w:r w:rsidRPr="004E00C4">
        <w:rPr>
          <w:rFonts w:ascii="Arial" w:eastAsia="Arial" w:hAnsi="Arial" w:cs="Arial"/>
          <w:bCs/>
          <w:color w:val="000000"/>
        </w:rPr>
        <w:t>zaměstnanost</w:t>
      </w:r>
      <w:r>
        <w:rPr>
          <w:rFonts w:ascii="Arial" w:eastAsia="Arial" w:hAnsi="Arial" w:cs="Arial"/>
          <w:bCs/>
          <w:color w:val="000000"/>
        </w:rPr>
        <w:t>i</w:t>
      </w:r>
      <w:r w:rsidRPr="004E00C4">
        <w:rPr>
          <w:rFonts w:ascii="Arial" w:eastAsia="Arial" w:hAnsi="Arial" w:cs="Arial"/>
          <w:bCs/>
          <w:color w:val="000000"/>
        </w:rPr>
        <w:t xml:space="preserve"> a adaptability pracovní síly včetně rovných příležitostí na trhu práce. Celkově bylo v této prioritní ose </w:t>
      </w:r>
      <w:r w:rsidRPr="004F12FA">
        <w:rPr>
          <w:rFonts w:ascii="Arial" w:eastAsia="Arial" w:hAnsi="Arial" w:cs="Arial"/>
          <w:bCs/>
          <w:color w:val="000000"/>
        </w:rPr>
        <w:t>podpořeno 6,5 tis</w:t>
      </w:r>
      <w:r w:rsidRPr="00FD4B5B">
        <w:rPr>
          <w:rFonts w:ascii="Arial" w:eastAsia="Arial" w:hAnsi="Arial" w:cs="Arial"/>
          <w:bCs/>
          <w:color w:val="000000"/>
        </w:rPr>
        <w:t>. projektů v objemu 2,1 mld. EUR. V souvislosti s uprchlickou vlnou z Ukrajiny a ve snaze těmto lidem pomoci došlo vedle revize OPZ v dubnu 2022 i na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573347">
        <w:rPr>
          <w:rFonts w:ascii="Arial" w:eastAsia="Arial" w:hAnsi="Arial" w:cs="Arial"/>
          <w:bCs/>
          <w:color w:val="000000"/>
        </w:rPr>
        <w:t xml:space="preserve">vyhlášení dvou mimořádných výzev </w:t>
      </w:r>
      <w:r>
        <w:rPr>
          <w:rFonts w:ascii="Arial" w:eastAsia="Arial" w:hAnsi="Arial" w:cs="Arial"/>
          <w:bCs/>
          <w:color w:val="000000"/>
        </w:rPr>
        <w:t>zaměřených na</w:t>
      </w:r>
      <w:r w:rsidRPr="00573347">
        <w:rPr>
          <w:rFonts w:ascii="Arial" w:eastAsia="Arial" w:hAnsi="Arial" w:cs="Arial"/>
          <w:bCs/>
          <w:color w:val="000000"/>
        </w:rPr>
        <w:t xml:space="preserve"> vznik a provoz dětských skupin</w:t>
      </w:r>
      <w:r>
        <w:rPr>
          <w:rFonts w:ascii="Arial" w:eastAsia="Arial" w:hAnsi="Arial" w:cs="Arial"/>
          <w:bCs/>
          <w:color w:val="000000"/>
        </w:rPr>
        <w:t>. Ty</w:t>
      </w:r>
      <w:r w:rsidRPr="00573347">
        <w:rPr>
          <w:rFonts w:ascii="Arial" w:eastAsia="Arial" w:hAnsi="Arial" w:cs="Arial"/>
          <w:bCs/>
          <w:color w:val="000000"/>
        </w:rPr>
        <w:t xml:space="preserve"> umožnily </w:t>
      </w:r>
      <w:r>
        <w:rPr>
          <w:rFonts w:ascii="Arial" w:eastAsia="Arial" w:hAnsi="Arial" w:cs="Arial"/>
          <w:bCs/>
          <w:color w:val="000000"/>
        </w:rPr>
        <w:t>existenci</w:t>
      </w:r>
      <w:r w:rsidRPr="00573347">
        <w:rPr>
          <w:rFonts w:ascii="Arial" w:eastAsia="Arial" w:hAnsi="Arial" w:cs="Arial"/>
          <w:bCs/>
          <w:color w:val="000000"/>
        </w:rPr>
        <w:t xml:space="preserve"> 181 nových skupin. Celkem bylo v</w:t>
      </w:r>
      <w:r w:rsidRPr="00CF59AB">
        <w:t> </w:t>
      </w:r>
      <w:r w:rsidRPr="00573347">
        <w:rPr>
          <w:rFonts w:ascii="Arial" w:eastAsia="Arial" w:hAnsi="Arial" w:cs="Arial"/>
          <w:bCs/>
          <w:color w:val="000000"/>
        </w:rPr>
        <w:t>rámci OPZ podpořeno 1 286 dětských skupin a 108 mikrojeslí.</w:t>
      </w:r>
      <w:r w:rsidRPr="00104FB8">
        <w:rPr>
          <w:rFonts w:ascii="Arial" w:eastAsia="Arial" w:hAnsi="Arial"/>
          <w:sz w:val="20"/>
        </w:rPr>
        <w:t xml:space="preserve"> </w:t>
      </w:r>
    </w:p>
    <w:p w14:paraId="53D8CC36" w14:textId="77777777" w:rsidR="007C2F51" w:rsidRPr="006C487D" w:rsidRDefault="007C2F51" w:rsidP="007C2F51">
      <w:pPr>
        <w:spacing w:after="120"/>
        <w:ind w:right="57"/>
        <w:jc w:val="both"/>
        <w:rPr>
          <w:rFonts w:ascii="Arial" w:eastAsia="Arial" w:hAnsi="Arial" w:cs="Arial"/>
          <w:bCs/>
          <w:color w:val="000000"/>
        </w:rPr>
      </w:pPr>
      <w:r w:rsidRPr="004E00C4">
        <w:rPr>
          <w:rFonts w:ascii="Arial" w:eastAsia="Arial" w:hAnsi="Arial" w:cs="Arial"/>
          <w:bCs/>
          <w:color w:val="000000"/>
        </w:rPr>
        <w:t xml:space="preserve">V prioritní ose 2 zaměřené na </w:t>
      </w:r>
      <w:r>
        <w:rPr>
          <w:rFonts w:ascii="Arial" w:eastAsia="Arial" w:hAnsi="Arial" w:cs="Arial"/>
          <w:bCs/>
          <w:color w:val="000000"/>
        </w:rPr>
        <w:t>sociální</w:t>
      </w:r>
      <w:r w:rsidRPr="004E00C4">
        <w:rPr>
          <w:rFonts w:ascii="Arial" w:eastAsia="Arial" w:hAnsi="Arial" w:cs="Arial"/>
          <w:bCs/>
          <w:color w:val="000000"/>
        </w:rPr>
        <w:t xml:space="preserve"> začleňování, boj s chudobou, sociální podnikání a na sociálně vyloučené lokality </w:t>
      </w:r>
      <w:r w:rsidRPr="004F12FA">
        <w:rPr>
          <w:rFonts w:ascii="Arial" w:eastAsia="Arial" w:hAnsi="Arial" w:cs="Arial"/>
          <w:bCs/>
          <w:color w:val="000000"/>
        </w:rPr>
        <w:t>bylo podpořeno 2,8 tis. projektů v objemu 0,87</w:t>
      </w:r>
      <w:r w:rsidRPr="002D67C6">
        <w:rPr>
          <w:rFonts w:ascii="Arial" w:eastAsia="Arial" w:hAnsi="Arial" w:cs="Arial"/>
          <w:bCs/>
          <w:color w:val="000000"/>
        </w:rPr>
        <w:t> </w:t>
      </w:r>
      <w:r w:rsidRPr="004F12FA">
        <w:rPr>
          <w:rFonts w:ascii="Arial" w:eastAsia="Arial" w:hAnsi="Arial" w:cs="Arial"/>
          <w:bCs/>
          <w:color w:val="000000"/>
        </w:rPr>
        <w:t>mld. EUR. Do</w:t>
      </w:r>
      <w:r>
        <w:rPr>
          <w:rFonts w:ascii="Arial" w:eastAsia="Arial" w:hAnsi="Arial" w:cs="Arial"/>
          <w:bCs/>
          <w:color w:val="000000"/>
        </w:rPr>
        <w:t xml:space="preserve"> prioritní osy spadají mj. i místní akční skupiny (MAS), tedy s</w:t>
      </w:r>
      <w:r w:rsidRPr="006C487D">
        <w:rPr>
          <w:rFonts w:ascii="Arial" w:eastAsia="Arial" w:hAnsi="Arial" w:cs="Arial"/>
          <w:bCs/>
          <w:color w:val="000000"/>
        </w:rPr>
        <w:t xml:space="preserve">polečenství složená ze subjektů, které zastupují místní socioekonomické zájmy a jejichž </w:t>
      </w:r>
      <w:r>
        <w:rPr>
          <w:rFonts w:ascii="Arial" w:eastAsia="Arial" w:hAnsi="Arial" w:cs="Arial"/>
          <w:bCs/>
          <w:color w:val="000000"/>
        </w:rPr>
        <w:t>snahou</w:t>
      </w:r>
      <w:r w:rsidRPr="006C487D">
        <w:rPr>
          <w:rFonts w:ascii="Arial" w:eastAsia="Arial" w:hAnsi="Arial" w:cs="Arial"/>
          <w:bCs/>
          <w:color w:val="000000"/>
        </w:rPr>
        <w:t xml:space="preserve"> je rozvoj vymezeného území. V této oblasti byla </w:t>
      </w:r>
      <w:r>
        <w:rPr>
          <w:rFonts w:ascii="Arial" w:eastAsia="Arial" w:hAnsi="Arial" w:cs="Arial"/>
          <w:bCs/>
          <w:color w:val="000000"/>
        </w:rPr>
        <w:t xml:space="preserve">v roce 2022 </w:t>
      </w:r>
      <w:r w:rsidRPr="006C487D">
        <w:rPr>
          <w:rFonts w:ascii="Arial" w:eastAsia="Arial" w:hAnsi="Arial" w:cs="Arial"/>
          <w:bCs/>
          <w:color w:val="000000"/>
        </w:rPr>
        <w:t xml:space="preserve">provedena evaluace s cílem šíření dobré praxe MAS a využití v přípravě strategií MAS v programovém období 2021-2027. </w:t>
      </w:r>
    </w:p>
    <w:p w14:paraId="3F1F1BD8" w14:textId="77777777" w:rsidR="007C2F51" w:rsidRPr="00BD4616" w:rsidRDefault="007C2F51" w:rsidP="007C2F51">
      <w:pPr>
        <w:spacing w:after="120"/>
        <w:ind w:right="57"/>
        <w:jc w:val="both"/>
        <w:rPr>
          <w:rFonts w:ascii="Arial" w:eastAsia="Arial" w:hAnsi="Arial" w:cs="Arial"/>
          <w:bCs/>
          <w:color w:val="000000"/>
        </w:rPr>
      </w:pPr>
      <w:r w:rsidRPr="00BD4616">
        <w:rPr>
          <w:rFonts w:ascii="Arial" w:eastAsia="Arial" w:hAnsi="Arial" w:cs="Arial"/>
          <w:bCs/>
          <w:color w:val="000000"/>
        </w:rPr>
        <w:t>V</w:t>
      </w:r>
      <w:r>
        <w:rPr>
          <w:rFonts w:ascii="Arial" w:eastAsia="Arial" w:hAnsi="Arial" w:cs="Arial"/>
          <w:bCs/>
          <w:color w:val="000000"/>
        </w:rPr>
        <w:t> </w:t>
      </w:r>
      <w:r w:rsidRPr="00BD4616">
        <w:rPr>
          <w:rFonts w:ascii="Arial" w:eastAsia="Arial" w:hAnsi="Arial" w:cs="Arial"/>
          <w:bCs/>
          <w:color w:val="000000"/>
        </w:rPr>
        <w:t xml:space="preserve">prioritní ose 3 zaměřené na sociální inovace a mezinárodní spolupráci v roce 2022 pokračovaly či byly ukončené projekty </w:t>
      </w:r>
      <w:r>
        <w:rPr>
          <w:rFonts w:ascii="Arial" w:eastAsia="Arial" w:hAnsi="Arial" w:cs="Arial"/>
          <w:bCs/>
          <w:color w:val="000000"/>
        </w:rPr>
        <w:t>zahájené</w:t>
      </w:r>
      <w:r w:rsidRPr="00BD4616">
        <w:rPr>
          <w:rFonts w:ascii="Arial" w:eastAsia="Arial" w:hAnsi="Arial" w:cs="Arial"/>
          <w:bCs/>
          <w:color w:val="000000"/>
        </w:rPr>
        <w:t xml:space="preserve"> v předchozích letech, výzvy již vyhlašovány nebyly. Od začátku programu vyhlásil </w:t>
      </w:r>
      <w:r>
        <w:rPr>
          <w:rFonts w:ascii="Arial" w:eastAsia="Arial" w:hAnsi="Arial" w:cs="Arial"/>
          <w:bCs/>
          <w:color w:val="000000"/>
        </w:rPr>
        <w:t>řídicí orgán</w:t>
      </w:r>
      <w:r w:rsidRPr="00BD4616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 xml:space="preserve">v této ose </w:t>
      </w:r>
      <w:r w:rsidRPr="00BD4616">
        <w:rPr>
          <w:rFonts w:ascii="Arial" w:eastAsia="Arial" w:hAnsi="Arial" w:cs="Arial"/>
          <w:bCs/>
          <w:color w:val="000000"/>
        </w:rPr>
        <w:t xml:space="preserve">celkem 7 výzev, </w:t>
      </w:r>
      <w:r>
        <w:rPr>
          <w:rFonts w:ascii="Arial" w:eastAsia="Arial" w:hAnsi="Arial" w:cs="Arial"/>
          <w:bCs/>
          <w:color w:val="000000"/>
        </w:rPr>
        <w:t>v nichž bylo</w:t>
      </w:r>
      <w:r w:rsidRPr="00BD4616">
        <w:rPr>
          <w:rFonts w:ascii="Arial" w:eastAsia="Arial" w:hAnsi="Arial" w:cs="Arial"/>
          <w:bCs/>
          <w:color w:val="000000"/>
        </w:rPr>
        <w:t xml:space="preserve"> podpořeno </w:t>
      </w:r>
      <w:r w:rsidRPr="00B2362D">
        <w:rPr>
          <w:rFonts w:ascii="Arial" w:eastAsia="Arial" w:hAnsi="Arial" w:cs="Arial"/>
          <w:bCs/>
          <w:color w:val="000000"/>
        </w:rPr>
        <w:t>183 žádostí ve výši 53 mil. EUR.</w:t>
      </w:r>
      <w:r w:rsidRPr="002D67C6">
        <w:rPr>
          <w:rFonts w:ascii="Arial" w:eastAsia="Arial" w:hAnsi="Arial" w:cs="Arial"/>
          <w:bCs/>
          <w:color w:val="000000"/>
        </w:rPr>
        <w:t xml:space="preserve"> </w:t>
      </w:r>
      <w:r w:rsidRPr="00751967">
        <w:rPr>
          <w:rFonts w:ascii="Arial" w:eastAsia="Arial" w:hAnsi="Arial" w:cs="Arial"/>
          <w:bCs/>
          <w:color w:val="000000"/>
        </w:rPr>
        <w:t>V průběhu programového období došlo ke zkvalitňování vyhlašovaných výzev, a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751967">
        <w:rPr>
          <w:rFonts w:ascii="Arial" w:eastAsia="Arial" w:hAnsi="Arial" w:cs="Arial"/>
          <w:bCs/>
          <w:color w:val="000000"/>
        </w:rPr>
        <w:t>to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751967">
        <w:rPr>
          <w:rFonts w:ascii="Arial" w:eastAsia="Arial" w:hAnsi="Arial" w:cs="Arial"/>
          <w:bCs/>
          <w:color w:val="000000"/>
        </w:rPr>
        <w:t xml:space="preserve">i s ohledem na posun </w:t>
      </w:r>
      <w:r>
        <w:rPr>
          <w:rFonts w:ascii="Arial" w:eastAsia="Arial" w:hAnsi="Arial" w:cs="Arial"/>
          <w:bCs/>
          <w:color w:val="000000"/>
        </w:rPr>
        <w:t>v</w:t>
      </w:r>
      <w:r w:rsidRPr="00751967">
        <w:rPr>
          <w:rFonts w:ascii="Arial" w:eastAsia="Arial" w:hAnsi="Arial" w:cs="Arial"/>
          <w:bCs/>
          <w:color w:val="000000"/>
        </w:rPr>
        <w:t xml:space="preserve">e vnímání sociálních inovací </w:t>
      </w:r>
      <w:r>
        <w:rPr>
          <w:rFonts w:ascii="Arial" w:eastAsia="Arial" w:hAnsi="Arial" w:cs="Arial"/>
          <w:bCs/>
          <w:color w:val="000000"/>
        </w:rPr>
        <w:t xml:space="preserve">ve společnosti i </w:t>
      </w:r>
      <w:r w:rsidRPr="00751967">
        <w:rPr>
          <w:rFonts w:ascii="Arial" w:eastAsia="Arial" w:hAnsi="Arial" w:cs="Arial"/>
          <w:bCs/>
          <w:color w:val="000000"/>
        </w:rPr>
        <w:t xml:space="preserve">na </w:t>
      </w:r>
      <w:r>
        <w:rPr>
          <w:rFonts w:ascii="Arial" w:eastAsia="Arial" w:hAnsi="Arial" w:cs="Arial"/>
          <w:bCs/>
          <w:color w:val="000000"/>
        </w:rPr>
        <w:t>řídicím orgánu OPZ</w:t>
      </w:r>
      <w:r w:rsidRPr="00751967">
        <w:rPr>
          <w:rFonts w:ascii="Arial" w:eastAsia="Arial" w:hAnsi="Arial" w:cs="Arial"/>
          <w:bCs/>
          <w:color w:val="000000"/>
        </w:rPr>
        <w:t xml:space="preserve">. První výzvy byly </w:t>
      </w:r>
      <w:r>
        <w:rPr>
          <w:rFonts w:ascii="Arial" w:eastAsia="Arial" w:hAnsi="Arial" w:cs="Arial"/>
          <w:bCs/>
          <w:color w:val="000000"/>
        </w:rPr>
        <w:t>orientované</w:t>
      </w:r>
      <w:r w:rsidRPr="00751967">
        <w:rPr>
          <w:rFonts w:ascii="Arial" w:eastAsia="Arial" w:hAnsi="Arial" w:cs="Arial"/>
          <w:bCs/>
          <w:color w:val="000000"/>
        </w:rPr>
        <w:t xml:space="preserve"> především na</w:t>
      </w:r>
      <w:r w:rsidRPr="00BD4616">
        <w:rPr>
          <w:rFonts w:ascii="Arial" w:eastAsia="Arial" w:hAnsi="Arial" w:cs="Arial"/>
          <w:bCs/>
          <w:color w:val="000000"/>
        </w:rPr>
        <w:t> </w:t>
      </w:r>
      <w:r w:rsidRPr="00751967">
        <w:rPr>
          <w:rFonts w:ascii="Arial" w:eastAsia="Arial" w:hAnsi="Arial" w:cs="Arial"/>
          <w:bCs/>
          <w:color w:val="000000"/>
        </w:rPr>
        <w:t>zavádění inovací do organizací a</w:t>
      </w:r>
      <w:r w:rsidRPr="00177CF9">
        <w:rPr>
          <w:rFonts w:ascii="Arial" w:eastAsia="Arial" w:hAnsi="Arial" w:cs="Arial"/>
          <w:bCs/>
          <w:color w:val="000000"/>
        </w:rPr>
        <w:t> </w:t>
      </w:r>
      <w:r w:rsidRPr="00751967">
        <w:rPr>
          <w:rFonts w:ascii="Arial" w:eastAsia="Arial" w:hAnsi="Arial" w:cs="Arial"/>
          <w:bCs/>
          <w:color w:val="000000"/>
        </w:rPr>
        <w:t xml:space="preserve">veřejné správy či budování kapacit nestátních neziskových </w:t>
      </w:r>
      <w:r w:rsidRPr="00751967">
        <w:rPr>
          <w:rFonts w:ascii="Arial" w:eastAsia="Arial" w:hAnsi="Arial" w:cs="Arial"/>
          <w:bCs/>
          <w:color w:val="000000"/>
        </w:rPr>
        <w:lastRenderedPageBreak/>
        <w:t>organizací. Postupem doby se však jako stěžejní ukázala především podpora organizacím v procesu vlastního učení se a</w:t>
      </w:r>
      <w:r w:rsidRPr="00177CF9">
        <w:rPr>
          <w:rFonts w:ascii="Arial" w:eastAsia="Arial" w:hAnsi="Arial" w:cs="Arial"/>
          <w:bCs/>
          <w:color w:val="000000"/>
        </w:rPr>
        <w:t> </w:t>
      </w:r>
      <w:r>
        <w:rPr>
          <w:rFonts w:ascii="Arial" w:eastAsia="Arial" w:hAnsi="Arial" w:cs="Arial"/>
          <w:bCs/>
          <w:color w:val="000000"/>
        </w:rPr>
        <w:t xml:space="preserve">individuální </w:t>
      </w:r>
      <w:r w:rsidRPr="00751967">
        <w:rPr>
          <w:rFonts w:ascii="Arial" w:eastAsia="Arial" w:hAnsi="Arial" w:cs="Arial"/>
          <w:bCs/>
          <w:color w:val="000000"/>
        </w:rPr>
        <w:t>zjišťování reálných potřeb klientů.</w:t>
      </w:r>
      <w:r w:rsidRPr="00BD4616">
        <w:rPr>
          <w:rFonts w:ascii="Arial" w:eastAsia="Arial" w:hAnsi="Arial" w:cs="Arial"/>
          <w:bCs/>
          <w:color w:val="000000"/>
        </w:rPr>
        <w:t xml:space="preserve"> </w:t>
      </w:r>
    </w:p>
    <w:p w14:paraId="277BFA59" w14:textId="77777777" w:rsidR="007C2F51" w:rsidRPr="00177CF9" w:rsidRDefault="007C2F51" w:rsidP="007C2F51">
      <w:pPr>
        <w:spacing w:after="120"/>
        <w:ind w:right="57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Za účelem optimalizace a profesionalizace veřejné správy</w:t>
      </w:r>
      <w:r w:rsidRPr="00177CF9">
        <w:rPr>
          <w:rFonts w:ascii="Arial" w:eastAsia="Arial" w:hAnsi="Arial" w:cs="Arial"/>
          <w:bCs/>
          <w:color w:val="000000"/>
        </w:rPr>
        <w:t>, zejména obcí, krajů a územně samosprávných celků</w:t>
      </w:r>
      <w:r>
        <w:rPr>
          <w:rFonts w:ascii="Arial" w:eastAsia="Arial" w:hAnsi="Arial" w:cs="Arial"/>
          <w:bCs/>
          <w:color w:val="000000"/>
        </w:rPr>
        <w:t>,</w:t>
      </w:r>
      <w:r w:rsidRPr="00177CF9">
        <w:rPr>
          <w:rFonts w:ascii="Arial" w:eastAsia="Arial" w:hAnsi="Arial" w:cs="Arial"/>
          <w:bCs/>
          <w:color w:val="000000"/>
        </w:rPr>
        <w:t xml:space="preserve"> bylo </w:t>
      </w:r>
      <w:r>
        <w:rPr>
          <w:rFonts w:ascii="Arial" w:eastAsia="Arial" w:hAnsi="Arial" w:cs="Arial"/>
          <w:bCs/>
          <w:color w:val="000000"/>
        </w:rPr>
        <w:t xml:space="preserve">v prioritní ose 4 </w:t>
      </w:r>
      <w:r w:rsidRPr="002D67C6">
        <w:rPr>
          <w:rFonts w:ascii="Arial" w:eastAsia="Arial" w:hAnsi="Arial" w:cs="Arial"/>
          <w:bCs/>
          <w:color w:val="000000"/>
        </w:rPr>
        <w:t>vyhlášeno 12 výzev</w:t>
      </w:r>
      <w:r>
        <w:rPr>
          <w:rFonts w:ascii="Arial" w:eastAsia="Arial" w:hAnsi="Arial" w:cs="Arial"/>
          <w:bCs/>
          <w:color w:val="000000"/>
        </w:rPr>
        <w:t xml:space="preserve"> a</w:t>
      </w:r>
      <w:r w:rsidRPr="002D67C6">
        <w:rPr>
          <w:rFonts w:ascii="Arial" w:eastAsia="Arial" w:hAnsi="Arial" w:cs="Arial"/>
          <w:bCs/>
          <w:color w:val="000000"/>
        </w:rPr>
        <w:t xml:space="preserve"> schváleno 556 projektů v objemu 195 mil. EUR. Aktivity v projektech se v průběhu programového</w:t>
      </w:r>
      <w:r w:rsidRPr="00177CF9">
        <w:rPr>
          <w:rFonts w:ascii="Arial" w:eastAsia="Arial" w:hAnsi="Arial" w:cs="Arial"/>
          <w:bCs/>
          <w:color w:val="000000"/>
        </w:rPr>
        <w:t xml:space="preserve"> období proměnily od zaměření na zpracování a aktualizaci strategických dokumentů a pasportizaci k zavádění moderních nástrojů komunikace s veřejností.</w:t>
      </w:r>
      <w:r>
        <w:rPr>
          <w:rFonts w:ascii="Arial" w:eastAsia="Arial" w:hAnsi="Arial" w:cs="Arial"/>
          <w:bCs/>
          <w:color w:val="000000"/>
        </w:rPr>
        <w:t xml:space="preserve"> </w:t>
      </w:r>
      <w:r w:rsidRPr="00177CF9">
        <w:rPr>
          <w:rFonts w:ascii="Arial" w:eastAsia="Arial" w:hAnsi="Arial" w:cs="Arial"/>
          <w:bCs/>
          <w:color w:val="000000"/>
        </w:rPr>
        <w:t>S</w:t>
      </w:r>
      <w:r>
        <w:rPr>
          <w:rFonts w:ascii="Arial" w:eastAsia="Arial" w:hAnsi="Arial" w:cs="Arial"/>
          <w:bCs/>
          <w:color w:val="000000"/>
        </w:rPr>
        <w:t> </w:t>
      </w:r>
      <w:r w:rsidRPr="00177CF9">
        <w:rPr>
          <w:rFonts w:ascii="Arial" w:eastAsia="Arial" w:hAnsi="Arial" w:cs="Arial"/>
          <w:bCs/>
          <w:color w:val="000000"/>
        </w:rPr>
        <w:t>příklady pokroků a výsledky na jednotlivých úřadech je možné se seznámit na </w:t>
      </w:r>
      <w:hyperlink r:id="rId11" w:history="1">
        <w:r w:rsidRPr="007C2F51">
          <w:rPr>
            <w:rFonts w:ascii="Arial" w:eastAsia="Arial" w:hAnsi="Arial" w:cs="Arial"/>
            <w:bCs/>
            <w:color w:val="4F81BD" w:themeColor="accent1"/>
            <w:u w:val="single"/>
          </w:rPr>
          <w:t>www.esfcr.cz</w:t>
        </w:r>
      </w:hyperlink>
      <w:r w:rsidRPr="002D67C6">
        <w:rPr>
          <w:rFonts w:ascii="Arial" w:eastAsia="Arial" w:hAnsi="Arial" w:cs="Arial"/>
          <w:bCs/>
          <w:color w:val="000000"/>
        </w:rPr>
        <w:t xml:space="preserve"> </w:t>
      </w:r>
      <w:r w:rsidRPr="00177CF9">
        <w:rPr>
          <w:rFonts w:ascii="Arial" w:eastAsia="Arial" w:hAnsi="Arial" w:cs="Arial"/>
          <w:bCs/>
          <w:color w:val="000000"/>
        </w:rPr>
        <w:t xml:space="preserve">v sekci Infocentrum. </w:t>
      </w:r>
    </w:p>
    <w:p w14:paraId="45E4BA98" w14:textId="4235845C" w:rsidR="001C34A2" w:rsidRPr="00D6759C" w:rsidRDefault="007C2F51" w:rsidP="007C2F51">
      <w:pPr>
        <w:spacing w:after="120"/>
        <w:ind w:right="119"/>
        <w:jc w:val="both"/>
        <w:rPr>
          <w:rFonts w:ascii="Arial" w:eastAsia="Arial" w:hAnsi="Arial" w:cs="Arial"/>
          <w:color w:val="000000"/>
        </w:rPr>
      </w:pPr>
      <w:r w:rsidRPr="002D67C6">
        <w:rPr>
          <w:rFonts w:ascii="Arial" w:eastAsia="Arial" w:hAnsi="Arial" w:cs="Arial"/>
          <w:bCs/>
          <w:color w:val="000000"/>
        </w:rPr>
        <w:t>V roce 2022 byly ukončeny 3 kontrolní akce Nejvyššího kontrolního úřadu. Ani v jednom případě nebyla odhalena pochybení většího finančního dopadu ani závažné systémové nedostatky</w:t>
      </w:r>
      <w:r>
        <w:rPr>
          <w:rFonts w:ascii="Arial" w:eastAsia="Arial" w:hAnsi="Arial" w:cs="Arial"/>
          <w:bCs/>
          <w:color w:val="000000"/>
        </w:rPr>
        <w:t>.</w:t>
      </w:r>
    </w:p>
    <w:sectPr w:rsidR="001C34A2" w:rsidRPr="00D675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79C7" w14:textId="77777777" w:rsidR="0077732B" w:rsidRDefault="0077732B" w:rsidP="00151B5D">
      <w:pPr>
        <w:spacing w:after="0" w:line="240" w:lineRule="auto"/>
      </w:pPr>
      <w:r>
        <w:separator/>
      </w:r>
    </w:p>
  </w:endnote>
  <w:endnote w:type="continuationSeparator" w:id="0">
    <w:p w14:paraId="33710177" w14:textId="77777777" w:rsidR="0077732B" w:rsidRDefault="0077732B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3A37" w14:textId="77777777" w:rsidR="002C624B" w:rsidRDefault="002C62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85DE" w14:textId="77777777" w:rsidR="002C624B" w:rsidRDefault="002C62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434A" w14:textId="77777777" w:rsidR="002C624B" w:rsidRDefault="002C62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EC1A" w14:textId="77777777" w:rsidR="0077732B" w:rsidRDefault="0077732B" w:rsidP="00151B5D">
      <w:pPr>
        <w:spacing w:after="0" w:line="240" w:lineRule="auto"/>
      </w:pPr>
      <w:r>
        <w:separator/>
      </w:r>
    </w:p>
  </w:footnote>
  <w:footnote w:type="continuationSeparator" w:id="0">
    <w:p w14:paraId="78EA65B2" w14:textId="77777777" w:rsidR="0077732B" w:rsidRDefault="0077732B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EE4E0" w14:textId="77777777" w:rsidR="002C624B" w:rsidRDefault="002C62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BA9D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45E4BA9F" wp14:editId="45E4BAA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A9E" w14:textId="77777777" w:rsidR="00151B5D" w:rsidRDefault="00151B5D">
    <w:pPr>
      <w:pStyle w:val="Zhlav"/>
    </w:pPr>
  </w:p>
  <w:p w14:paraId="465155F5" w14:textId="77777777" w:rsidR="002C624B" w:rsidRDefault="002C62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9472" w14:textId="77777777" w:rsidR="002C624B" w:rsidRDefault="002C62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0A0"/>
    <w:multiLevelType w:val="hybridMultilevel"/>
    <w:tmpl w:val="F48677F6"/>
    <w:lvl w:ilvl="0" w:tplc="ACC23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D45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162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E61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42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98D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80A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E3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046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85D76E1"/>
    <w:multiLevelType w:val="multilevel"/>
    <w:tmpl w:val="8AC678A4"/>
    <w:lvl w:ilvl="0">
      <w:start w:val="1"/>
      <w:numFmt w:val="decimal"/>
      <w:pStyle w:val="Nadpis1"/>
      <w:lvlText w:val="%1."/>
      <w:lvlJc w:val="left"/>
      <w:pPr>
        <w:ind w:left="468" w:hanging="360"/>
      </w:pPr>
      <w:rPr>
        <w:rFonts w:ascii="Arial" w:eastAsia="Arial" w:hAnsi="Arial" w:cs="Arial" w:hint="default"/>
        <w:b/>
        <w:bCs/>
        <w:color w:val="000000"/>
        <w:sz w:val="24"/>
      </w:rPr>
    </w:lvl>
    <w:lvl w:ilvl="1">
      <w:start w:val="1"/>
      <w:numFmt w:val="decimal"/>
      <w:pStyle w:val="Nadpis2"/>
      <w:lvlText w:val="%1.%2."/>
      <w:lvlJc w:val="left"/>
      <w:pPr>
        <w:ind w:left="533" w:hanging="425"/>
      </w:pPr>
      <w:rPr>
        <w:rFonts w:ascii="Arial" w:eastAsia="Arial" w:hAnsi="Arial" w:cs="Arial" w:hint="default"/>
        <w:b/>
        <w:bCs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332" w:hanging="504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36" w:hanging="648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340" w:hanging="792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44" w:hanging="936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852" w:hanging="1224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428" w:hanging="1440"/>
      </w:pPr>
      <w:rPr>
        <w:rFonts w:ascii="Calibri" w:eastAsia="Calibri" w:hAnsi="Calibri" w:cs="Calibri" w:hint="default"/>
        <w:color w:val="000000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40372"/>
    <w:rsid w:val="00045CDC"/>
    <w:rsid w:val="00070647"/>
    <w:rsid w:val="000A6519"/>
    <w:rsid w:val="00124D40"/>
    <w:rsid w:val="00137300"/>
    <w:rsid w:val="00151B5D"/>
    <w:rsid w:val="00161FCF"/>
    <w:rsid w:val="001764D1"/>
    <w:rsid w:val="001C2BD5"/>
    <w:rsid w:val="001C34A2"/>
    <w:rsid w:val="00265681"/>
    <w:rsid w:val="002C624B"/>
    <w:rsid w:val="00335A02"/>
    <w:rsid w:val="0037744B"/>
    <w:rsid w:val="003876F7"/>
    <w:rsid w:val="00405D85"/>
    <w:rsid w:val="00470CD8"/>
    <w:rsid w:val="00473A76"/>
    <w:rsid w:val="004A620E"/>
    <w:rsid w:val="004B471C"/>
    <w:rsid w:val="004F5407"/>
    <w:rsid w:val="004F6D51"/>
    <w:rsid w:val="00525E99"/>
    <w:rsid w:val="0053532C"/>
    <w:rsid w:val="0054182A"/>
    <w:rsid w:val="005E6F29"/>
    <w:rsid w:val="005F4A40"/>
    <w:rsid w:val="005F523B"/>
    <w:rsid w:val="005F56EB"/>
    <w:rsid w:val="00604181"/>
    <w:rsid w:val="00675FC4"/>
    <w:rsid w:val="006B01FC"/>
    <w:rsid w:val="006C6EB0"/>
    <w:rsid w:val="0071428F"/>
    <w:rsid w:val="0077732B"/>
    <w:rsid w:val="007826A2"/>
    <w:rsid w:val="007C2884"/>
    <w:rsid w:val="007C2F51"/>
    <w:rsid w:val="008206FF"/>
    <w:rsid w:val="00832E95"/>
    <w:rsid w:val="00895B19"/>
    <w:rsid w:val="008F4A32"/>
    <w:rsid w:val="00902940"/>
    <w:rsid w:val="0091103B"/>
    <w:rsid w:val="00921009"/>
    <w:rsid w:val="00931C31"/>
    <w:rsid w:val="00935B21"/>
    <w:rsid w:val="00987E86"/>
    <w:rsid w:val="009B3CCE"/>
    <w:rsid w:val="009E69B4"/>
    <w:rsid w:val="00A172AF"/>
    <w:rsid w:val="00A534BB"/>
    <w:rsid w:val="00A55ACD"/>
    <w:rsid w:val="00A56FB9"/>
    <w:rsid w:val="00AB081F"/>
    <w:rsid w:val="00AC1A33"/>
    <w:rsid w:val="00B04E41"/>
    <w:rsid w:val="00B100D3"/>
    <w:rsid w:val="00B63526"/>
    <w:rsid w:val="00C01971"/>
    <w:rsid w:val="00C06FE9"/>
    <w:rsid w:val="00C34744"/>
    <w:rsid w:val="00C377CE"/>
    <w:rsid w:val="00C41266"/>
    <w:rsid w:val="00C44383"/>
    <w:rsid w:val="00C90D6A"/>
    <w:rsid w:val="00CB266A"/>
    <w:rsid w:val="00CF30A6"/>
    <w:rsid w:val="00CF79F0"/>
    <w:rsid w:val="00D12373"/>
    <w:rsid w:val="00D20969"/>
    <w:rsid w:val="00D6759C"/>
    <w:rsid w:val="00D712A0"/>
    <w:rsid w:val="00D74B1C"/>
    <w:rsid w:val="00DC33B7"/>
    <w:rsid w:val="00DD766C"/>
    <w:rsid w:val="00E335D1"/>
    <w:rsid w:val="00E34C80"/>
    <w:rsid w:val="00E62FF7"/>
    <w:rsid w:val="00EB09A3"/>
    <w:rsid w:val="00EC7E88"/>
    <w:rsid w:val="00EE234C"/>
    <w:rsid w:val="00EE67A5"/>
    <w:rsid w:val="00F305B5"/>
    <w:rsid w:val="00F326BB"/>
    <w:rsid w:val="00F77805"/>
    <w:rsid w:val="00FB178C"/>
    <w:rsid w:val="00F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E4BA8E"/>
  <w15:docId w15:val="{EF1958BE-F842-4629-85A0-14B76F11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12A0"/>
    <w:pPr>
      <w:numPr>
        <w:numId w:val="2"/>
      </w:numPr>
      <w:tabs>
        <w:tab w:val="left" w:pos="675"/>
      </w:tabs>
      <w:spacing w:before="360" w:after="0" w:line="240" w:lineRule="auto"/>
      <w:jc w:val="both"/>
      <w:outlineLvl w:val="0"/>
    </w:pPr>
    <w:rPr>
      <w:rFonts w:ascii="Arial" w:eastAsia="Arial" w:hAnsi="Arial" w:cs="Arial"/>
      <w:b/>
      <w:bCs/>
      <w:color w:val="000000"/>
      <w:sz w:val="24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12A0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Arial" w:eastAsia="Arial" w:hAnsi="Arial" w:cs="Arial"/>
      <w:b/>
      <w:bCs/>
      <w:color w:val="000000"/>
      <w:sz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B3CC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C3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33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33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3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33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5E9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32E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56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712A0"/>
    <w:rPr>
      <w:rFonts w:ascii="Arial" w:eastAsia="Arial" w:hAnsi="Arial" w:cs="Arial"/>
      <w:b/>
      <w:bCs/>
      <w:color w:val="000000"/>
      <w:sz w:val="24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D712A0"/>
    <w:rPr>
      <w:rFonts w:ascii="Arial" w:eastAsia="Arial" w:hAnsi="Arial" w:cs="Arial"/>
      <w:b/>
      <w:bCs/>
      <w:color w:val="000000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2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fcr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OPZ\VZ_OPZ Shrnutí pro veřejnost.docx</AC_OriginalFileName>
  </documentManagement>
</p:properties>
</file>

<file path=customXml/itemProps1.xml><?xml version="1.0" encoding="utf-8"?>
<ds:datastoreItem xmlns:ds="http://schemas.openxmlformats.org/officeDocument/2006/customXml" ds:itemID="{DFF565AA-78A9-41EB-80C0-216FFA7FA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B16F6-71CB-4B6B-A3BA-0CBB2131B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3EA88-6606-4203-BC9D-12C734609D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1B94A-F281-4D56-9D54-8AE3F8AEBF1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fed548f-0517-4d39-90e3-3947398480c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Sogelová Adéla Ing. (MPSV)</cp:lastModifiedBy>
  <cp:revision>3</cp:revision>
  <dcterms:created xsi:type="dcterms:W3CDTF">2023-04-20T13:09:00Z</dcterms:created>
  <dcterms:modified xsi:type="dcterms:W3CDTF">2023-04-20T13:13:00Z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